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1908"/>
        <w:gridCol w:w="2243"/>
        <w:gridCol w:w="1751"/>
        <w:gridCol w:w="1218"/>
        <w:gridCol w:w="1140"/>
        <w:gridCol w:w="1263"/>
        <w:gridCol w:w="1560"/>
        <w:gridCol w:w="1230"/>
        <w:gridCol w:w="935"/>
        <w:gridCol w:w="289"/>
        <w:gridCol w:w="1271"/>
      </w:tblGrid>
      <w:tr w:rsidR="00D80151" w:rsidRPr="00A36025" w:rsidTr="00AB056E">
        <w:trPr>
          <w:trHeight w:val="420"/>
        </w:trPr>
        <w:tc>
          <w:tcPr>
            <w:tcW w:w="157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AB056E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AB056E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AB056E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AB056E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Бронеавтомобиль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Volkswagen 19452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1000594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237723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Светло-бежевый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1984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B056E" w:rsidRDefault="00AB056E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B056E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ООО «СЭЙФ ТЕХНОЛОДЖИ» (Россия)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836B3D"/>
    <w:rsid w:val="00893F45"/>
    <w:rsid w:val="008E58B3"/>
    <w:rsid w:val="00916419"/>
    <w:rsid w:val="00945B0A"/>
    <w:rsid w:val="00AB056E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D5BBF-1214-4D0D-B89E-22E41509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2020-02-05T11:51:00Z</dcterms:modified>
</cp:coreProperties>
</file>